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shd w:val="clear" w:color="auto" w:fill="FFFFFF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shd w:val="clear" w:color="auto" w:fill="FFFFFF"/>
          <w:lang w:eastAsia="zh-CN"/>
        </w:rPr>
        <w:t>定州市住房和城乡建设局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shd w:val="clear" w:color="auto" w:fill="FFFFFF"/>
          <w:lang w:val="en-US" w:eastAsia="zh-CN"/>
        </w:rPr>
        <w:t>2020年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shd w:val="clear" w:color="auto" w:fill="FFFFFF"/>
        </w:rPr>
        <w:t>政府信息公开工作年度报告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880" w:firstLineChars="20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333333"/>
          <w:sz w:val="44"/>
          <w:szCs w:val="44"/>
          <w:shd w:val="clear" w:color="auto" w:fill="FFFFFF"/>
        </w:rPr>
      </w:pP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333333"/>
          <w:sz w:val="32"/>
          <w:szCs w:val="32"/>
          <w:shd w:val="clear" w:color="auto" w:fill="FFFFFF"/>
        </w:rPr>
        <w:t>一、总体情况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年来，我局始终坚持将推进政府信息公开，作为深入推行政务公开，转变政府职能，建设行为规范、运转协调、公正透明、廉洁高效服务型政府的重要内容，创新工作，扎实推进，在深化公开内容、完善各项制度、规范公开形式等方面取得了明显成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主动公开政府信息情况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）主动公开信息数量：公开政府信息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72</w:t>
      </w:r>
      <w:r>
        <w:rPr>
          <w:rFonts w:hint="eastAsia" w:ascii="仿宋_GB2312" w:eastAsia="仿宋_GB2312"/>
          <w:sz w:val="32"/>
          <w:szCs w:val="32"/>
        </w:rPr>
        <w:t>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）主动公开信息主要类别：</w:t>
      </w:r>
      <w:r>
        <w:rPr>
          <w:rFonts w:hint="eastAsia" w:ascii="仿宋_GB2312" w:eastAsia="仿宋_GB2312"/>
          <w:sz w:val="32"/>
          <w:szCs w:val="32"/>
          <w:lang w:eastAsia="zh-CN"/>
        </w:rPr>
        <w:t>通知公告、建议提案、行政执法事前公开、事后公开</w:t>
      </w:r>
      <w:r>
        <w:rPr>
          <w:rFonts w:hint="eastAsia" w:ascii="仿宋_GB2312" w:eastAsia="仿宋_GB2312"/>
          <w:sz w:val="32"/>
          <w:szCs w:val="32"/>
        </w:rPr>
        <w:t>等</w:t>
      </w:r>
      <w:r>
        <w:rPr>
          <w:rFonts w:hint="eastAsia" w:ascii="仿宋_GB2312" w:eastAsia="仿宋_GB2312"/>
          <w:sz w:val="32"/>
          <w:szCs w:val="32"/>
          <w:lang w:eastAsia="zh-CN"/>
        </w:rPr>
        <w:t>事项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）信息公开</w:t>
      </w:r>
      <w:r>
        <w:rPr>
          <w:rFonts w:hint="eastAsia" w:ascii="仿宋_GB2312" w:eastAsia="仿宋_GB2312"/>
          <w:sz w:val="32"/>
          <w:szCs w:val="32"/>
          <w:lang w:eastAsia="zh-CN"/>
        </w:rPr>
        <w:t>主要</w:t>
      </w:r>
      <w:r>
        <w:rPr>
          <w:rFonts w:hint="eastAsia" w:ascii="仿宋_GB2312" w:eastAsia="仿宋_GB2312"/>
          <w:sz w:val="32"/>
          <w:szCs w:val="32"/>
        </w:rPr>
        <w:t>形式：定州市人民政府网站、</w:t>
      </w:r>
      <w:r>
        <w:rPr>
          <w:rFonts w:hint="eastAsia" w:ascii="仿宋_GB2312" w:eastAsia="仿宋_GB2312"/>
          <w:sz w:val="32"/>
          <w:szCs w:val="32"/>
          <w:lang w:eastAsia="zh-CN"/>
        </w:rPr>
        <w:t>定州城建微信公众号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回应解读情况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）回应公众关注热点或重大舆情1次。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eastAsia="仿宋_GB2312"/>
          <w:sz w:val="32"/>
          <w:szCs w:val="32"/>
          <w:lang w:val="en-US"/>
        </w:rPr>
      </w:pP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）通过定州市人民政府网回应举报投诉数量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36</w:t>
      </w:r>
      <w:r>
        <w:rPr>
          <w:rFonts w:hint="eastAsia" w:ascii="仿宋_GB2312" w:eastAsia="仿宋_GB2312"/>
          <w:sz w:val="32"/>
          <w:szCs w:val="32"/>
        </w:rPr>
        <w:t>件，已全部办结。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受理阳光理政125件，</w:t>
      </w:r>
      <w:r>
        <w:rPr>
          <w:rFonts w:hint="eastAsia" w:ascii="仿宋_GB2312" w:eastAsia="仿宋_GB2312"/>
          <w:sz w:val="32"/>
          <w:szCs w:val="32"/>
        </w:rPr>
        <w:t>已全部办结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3.</w:t>
      </w:r>
      <w:r>
        <w:rPr>
          <w:rFonts w:hint="eastAsia" w:ascii="仿宋_GB2312" w:eastAsia="仿宋_GB2312"/>
          <w:sz w:val="32"/>
          <w:szCs w:val="32"/>
        </w:rPr>
        <w:t>全年共受理公开政府信息申请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件，已全部办结。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/>
          <w:b/>
          <w:color w:val="333333"/>
          <w:shd w:val="clear" w:color="auto" w:fill="FFFFFF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4.</w:t>
      </w:r>
      <w:r>
        <w:rPr>
          <w:rFonts w:hint="eastAsia"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年，我局涉及行政诉讼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件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已办结。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560" w:lineRule="exact"/>
        <w:ind w:firstLine="420"/>
        <w:jc w:val="both"/>
        <w:textAlignment w:val="auto"/>
        <w:rPr>
          <w:rFonts w:hint="eastAsia" w:ascii="黑体" w:hAnsi="黑体" w:eastAsia="黑体" w:cs="黑体"/>
          <w:b w:val="0"/>
          <w:bCs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333333"/>
          <w:sz w:val="32"/>
          <w:szCs w:val="32"/>
          <w:shd w:val="clear" w:color="auto" w:fill="FFFFFF"/>
        </w:rPr>
        <w:t>二、主动公开政府信息情况</w:t>
      </w:r>
    </w:p>
    <w:tbl>
      <w:tblPr>
        <w:tblStyle w:val="5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75"/>
        <w:gridCol w:w="6"/>
        <w:gridCol w:w="1265"/>
        <w:gridCol w:w="188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14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对外公开总数量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left"/>
              <w:textAlignment w:val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left"/>
              <w:textAlignment w:val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left"/>
              <w:textAlignment w:val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left"/>
              <w:textAlignment w:val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left"/>
              <w:textAlignment w:val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left"/>
              <w:textAlignment w:val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left"/>
              <w:textAlignment w:val="auto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48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left"/>
              <w:textAlignment w:val="auto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109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left"/>
              <w:textAlignment w:val="auto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left"/>
              <w:textAlignment w:val="auto"/>
            </w:pP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left"/>
              <w:textAlignment w:val="auto"/>
            </w:pP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left"/>
              <w:textAlignment w:val="auto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left"/>
              <w:textAlignment w:val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left"/>
              <w:textAlignment w:val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left"/>
              <w:textAlignment w:val="auto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left"/>
              <w:textAlignment w:val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left"/>
              <w:textAlignment w:val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left"/>
              <w:textAlignment w:val="auto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left"/>
              <w:textAlignment w:val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第二十条第（九）项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采购总金额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left"/>
              <w:textAlignment w:val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宋体" w:eastAsia="宋体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1038.181万元</w:t>
            </w:r>
          </w:p>
        </w:tc>
      </w:tr>
    </w:tbl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560" w:lineRule="exact"/>
        <w:ind w:firstLine="640" w:firstLineChars="200"/>
        <w:jc w:val="both"/>
        <w:textAlignment w:val="auto"/>
        <w:outlineLvl w:val="0"/>
        <w:rPr>
          <w:rFonts w:hint="eastAsia" w:ascii="黑体" w:hAnsi="黑体" w:eastAsia="黑体" w:cs="黑体"/>
          <w:b w:val="0"/>
          <w:bCs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333333"/>
          <w:sz w:val="32"/>
          <w:szCs w:val="32"/>
          <w:shd w:val="clear" w:color="auto" w:fill="FFFFFF"/>
        </w:rPr>
        <w:t>三、收到和处理政府信息公开申请情况</w:t>
      </w:r>
    </w:p>
    <w:tbl>
      <w:tblPr>
        <w:tblStyle w:val="5"/>
        <w:tblW w:w="907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8"/>
        <w:gridCol w:w="854"/>
        <w:gridCol w:w="2086"/>
        <w:gridCol w:w="814"/>
        <w:gridCol w:w="755"/>
        <w:gridCol w:w="755"/>
        <w:gridCol w:w="814"/>
        <w:gridCol w:w="974"/>
        <w:gridCol w:w="712"/>
        <w:gridCol w:w="68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8" w:type="dxa"/>
            <w:gridSpan w:val="3"/>
            <w:vMerge w:val="restart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513" w:type="dxa"/>
            <w:gridSpan w:val="7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8" w:type="dxa"/>
            <w:gridSpan w:val="3"/>
            <w:vMerge w:val="continue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814" w:type="dxa"/>
            <w:vMerge w:val="restart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010" w:type="dxa"/>
            <w:gridSpan w:val="5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8" w:type="dxa"/>
            <w:gridSpan w:val="3"/>
            <w:vMerge w:val="continue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814" w:type="dxa"/>
            <w:vMerge w:val="continue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755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55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1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7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2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689" w:type="dxa"/>
            <w:vMerge w:val="continue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jc w:val="center"/>
        </w:trPr>
        <w:tc>
          <w:tcPr>
            <w:tcW w:w="3558" w:type="dxa"/>
            <w:gridSpan w:val="3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1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755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81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2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8" w:type="dxa"/>
            <w:gridSpan w:val="3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1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81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2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restart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2940" w:type="dxa"/>
            <w:gridSpan w:val="2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81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755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81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2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  <w:jc w:val="center"/>
        </w:trPr>
        <w:tc>
          <w:tcPr>
            <w:tcW w:w="618" w:type="dxa"/>
            <w:vMerge w:val="continue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2940" w:type="dxa"/>
            <w:gridSpan w:val="2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1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81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2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854" w:type="dxa"/>
            <w:vMerge w:val="restart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81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81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2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854" w:type="dxa"/>
            <w:vMerge w:val="continue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2086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81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81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2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854" w:type="dxa"/>
            <w:vMerge w:val="continue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2086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81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81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2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854" w:type="dxa"/>
            <w:vMerge w:val="continue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2086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81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81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2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854" w:type="dxa"/>
            <w:vMerge w:val="continue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2086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81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ascii="Calibri" w:hAnsi="Calibri" w:eastAsia="宋体" w:cs="黑体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ascii="Calibri" w:hAnsi="Calibri" w:eastAsia="宋体" w:cs="黑体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ascii="Calibri" w:hAnsi="Calibri" w:eastAsia="宋体" w:cs="黑体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81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ascii="Calibri" w:hAnsi="Calibri" w:eastAsia="宋体" w:cs="黑体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ascii="Calibri" w:hAnsi="Calibri" w:eastAsia="宋体" w:cs="黑体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2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ascii="Calibri" w:hAnsi="Calibri" w:eastAsia="宋体" w:cs="黑体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ascii="Calibri" w:hAnsi="Calibri" w:eastAsia="宋体" w:cs="黑体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854" w:type="dxa"/>
            <w:vMerge w:val="continue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2086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81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ascii="Calibri" w:hAnsi="Calibri" w:eastAsia="宋体" w:cs="黑体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ascii="Calibri" w:hAnsi="Calibri" w:eastAsia="宋体" w:cs="黑体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ascii="Calibri" w:hAnsi="Calibri" w:eastAsia="宋体" w:cs="黑体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81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ascii="Calibri" w:hAnsi="Calibri" w:eastAsia="宋体" w:cs="黑体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ascii="Calibri" w:hAnsi="Calibri" w:eastAsia="宋体" w:cs="黑体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2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ascii="Calibri" w:hAnsi="Calibri" w:eastAsia="宋体" w:cs="黑体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ascii="Calibri" w:hAnsi="Calibri" w:eastAsia="宋体" w:cs="黑体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854" w:type="dxa"/>
            <w:vMerge w:val="continue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2086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81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ascii="Calibri" w:hAnsi="Calibri" w:eastAsia="宋体" w:cs="黑体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ascii="Calibri" w:hAnsi="Calibri" w:eastAsia="宋体" w:cs="黑体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ascii="Calibri" w:hAnsi="Calibri" w:eastAsia="宋体" w:cs="黑体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81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ascii="Calibri" w:hAnsi="Calibri" w:eastAsia="宋体" w:cs="黑体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ascii="Calibri" w:hAnsi="Calibri" w:eastAsia="宋体" w:cs="黑体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2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ascii="Calibri" w:hAnsi="Calibri" w:eastAsia="宋体" w:cs="黑体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ascii="Calibri" w:hAnsi="Calibri" w:eastAsia="宋体" w:cs="黑体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854" w:type="dxa"/>
            <w:vMerge w:val="continue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2086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81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ascii="Calibri" w:hAnsi="Calibri" w:eastAsia="宋体" w:cs="黑体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ascii="Calibri" w:hAnsi="Calibri" w:eastAsia="宋体" w:cs="黑体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ascii="Calibri" w:hAnsi="Calibri" w:eastAsia="宋体" w:cs="黑体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81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ascii="Calibri" w:hAnsi="Calibri" w:eastAsia="宋体" w:cs="黑体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ascii="Calibri" w:hAnsi="Calibri" w:eastAsia="宋体" w:cs="黑体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2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ascii="Calibri" w:hAnsi="Calibri" w:eastAsia="宋体" w:cs="黑体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ascii="Calibri" w:hAnsi="Calibri" w:eastAsia="宋体" w:cs="黑体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jc w:val="center"/>
        </w:trPr>
        <w:tc>
          <w:tcPr>
            <w:tcW w:w="618" w:type="dxa"/>
            <w:vMerge w:val="continue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854" w:type="dxa"/>
            <w:vMerge w:val="restart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81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755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asci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asci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asci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asci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2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asci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ascii="Calibri" w:eastAsia="宋体" w:cs="Calibri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jc w:val="center"/>
        </w:trPr>
        <w:tc>
          <w:tcPr>
            <w:tcW w:w="618" w:type="dxa"/>
            <w:vMerge w:val="continue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854" w:type="dxa"/>
            <w:vMerge w:val="continue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2086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81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81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2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jc w:val="center"/>
        </w:trPr>
        <w:tc>
          <w:tcPr>
            <w:tcW w:w="618" w:type="dxa"/>
            <w:vMerge w:val="continue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854" w:type="dxa"/>
            <w:vMerge w:val="continue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2086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81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81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2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854" w:type="dxa"/>
            <w:vMerge w:val="restart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81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81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2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854" w:type="dxa"/>
            <w:vMerge w:val="continue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2086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81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81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2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854" w:type="dxa"/>
            <w:vMerge w:val="continue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2086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81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81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2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854" w:type="dxa"/>
            <w:vMerge w:val="continue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2086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81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81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2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854" w:type="dxa"/>
            <w:vMerge w:val="continue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2086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81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81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2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2940" w:type="dxa"/>
            <w:gridSpan w:val="2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81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81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2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2940" w:type="dxa"/>
            <w:gridSpan w:val="2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1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755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81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2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8" w:type="dxa"/>
            <w:gridSpan w:val="3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1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81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2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eastAsia" w:ascii="宋体"/>
                <w:sz w:val="24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</w:tbl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outlineLvl w:val="0"/>
        <w:rPr>
          <w:rFonts w:hint="eastAsia" w:ascii="黑体" w:hAnsi="黑体" w:eastAsia="黑体" w:cs="黑体"/>
          <w:b w:val="0"/>
          <w:bCs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333333"/>
          <w:sz w:val="32"/>
          <w:szCs w:val="32"/>
          <w:shd w:val="clear" w:color="auto" w:fill="FFFFFF"/>
        </w:rPr>
        <w:t>四、政府信息公开行政复议、行政诉讼情况</w:t>
      </w:r>
    </w:p>
    <w:tbl>
      <w:tblPr>
        <w:tblStyle w:val="5"/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/>
                <w:sz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eastAsia="宋体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0</w:t>
            </w:r>
          </w:p>
        </w:tc>
      </w:tr>
    </w:tbl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outlineLvl w:val="0"/>
        <w:rPr>
          <w:rFonts w:hint="eastAsia" w:ascii="黑体" w:hAnsi="黑体" w:eastAsia="黑体" w:cs="黑体"/>
          <w:b w:val="0"/>
          <w:bCs/>
          <w:color w:val="333333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 w:val="0"/>
          <w:bCs/>
          <w:color w:val="333333"/>
          <w:sz w:val="32"/>
          <w:szCs w:val="32"/>
          <w:shd w:val="clear" w:color="auto" w:fill="FFFFFF"/>
        </w:rPr>
        <w:t>五、存在的主要问题及改进情况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outlineLvl w:val="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近年来，我局不断改进政务信息公开工作，逐步进入常态化、规范化的轨道，但与上级要求，与群众的期盼仍有一定差距，存在的主要问题有：一是信息公开意识不强，对认真贯彻文件精神，提高业务能力有待加强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是信息公开渠道、方式和范围还需拓宽，在满足公众获知信息的需求性上还需下功夫。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outlineLvl w:val="0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在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下一阶段将主要做好以下几方面工作：一是进一步强化组织领导。调整优化领导机构名称和职能，明确职责分工，完善工作机制，不断创新工作方式方法，突出重点，注重实效，加强信息报送工作力度，使信息公开业务更加有序、便民、高效，确保广大人民群众的知情权、参与权、表达权和监督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权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。二是加强保密审查，扩展公开范围。认真清理政府信息公开事项，查漏补缺，确保应公开的政务信息全部公开。同时严把质量关、保密审查关，依据有关法律、法规严格审核公开内容，确保政府信息公开不影响国家安全、公共安全、经济安全和社会稳定，真正体现公开、公平、公正。三是进一步拓宽信息公开途径。通过网络、微信等多种方式加大宣传力度，进一步细化信息公开工作流程，拓宽公开渠道，确保操作简便明了，利于查找。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outlineLvl w:val="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outlineLvl w:val="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center"/>
        <w:textAlignment w:val="auto"/>
        <w:outlineLvl w:val="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           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center"/>
        <w:textAlignment w:val="auto"/>
        <w:outlineLvl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      2021年1月11日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DED65B"/>
    <w:rsid w:val="3C97CD89"/>
    <w:rsid w:val="4FB71D25"/>
    <w:rsid w:val="6FBCA887"/>
    <w:rsid w:val="73FD623D"/>
    <w:rsid w:val="7BDED65B"/>
    <w:rsid w:val="7EE3EA69"/>
    <w:rsid w:val="7EFF11A6"/>
    <w:rsid w:val="7F1D4B3F"/>
    <w:rsid w:val="AB4FC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Lines="0" w:beforeAutospacing="1" w:after="100" w:afterLines="0" w:afterAutospacing="1"/>
      <w:jc w:val="left"/>
    </w:pPr>
    <w:rPr>
      <w:rFonts w:ascii="宋体" w:hAnsi="宋体" w:eastAsia="宋体" w:cs="宋体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Office_11.8.2.9520_F1E327BC-269C-435d-A152-05C5408002CA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2021-01-11T18:40:00Z</dcterms:created>
  <dc:creator>hp</dc:creator>
  <cp:lastModifiedBy>hp</cp:lastModifiedBy>
  <dcterms:modified xsi:type="dcterms:W3CDTF">2021-01-11T11:37:55Z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2052-11.8.2.9520</vt:lpwstr>
  </property>
</Properties>
</file>